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91E68" w14:textId="5226DB64" w:rsidR="00A01CAE" w:rsidRDefault="007362F2" w:rsidP="007362F2">
      <w:pPr>
        <w:jc w:val="center"/>
        <w:rPr>
          <w:rFonts w:cstheme="minorHAnsi"/>
          <w:b/>
          <w:bCs/>
          <w:sz w:val="28"/>
          <w:szCs w:val="28"/>
          <w:u w:val="single"/>
        </w:rPr>
      </w:pPr>
      <w:r w:rsidRPr="007362F2">
        <w:rPr>
          <w:rFonts w:cstheme="minorHAnsi"/>
          <w:b/>
          <w:bCs/>
          <w:sz w:val="28"/>
          <w:szCs w:val="28"/>
          <w:u w:val="single"/>
        </w:rPr>
        <w:t>Governance – The Circle Model</w:t>
      </w:r>
    </w:p>
    <w:p w14:paraId="37BB5E6D" w14:textId="77777777" w:rsidR="007362F2" w:rsidRPr="007362F2" w:rsidRDefault="007362F2" w:rsidP="007362F2">
      <w:pPr>
        <w:jc w:val="center"/>
        <w:rPr>
          <w:rFonts w:cstheme="minorHAnsi"/>
          <w:b/>
          <w:bCs/>
          <w:sz w:val="24"/>
          <w:szCs w:val="24"/>
          <w:u w:val="single"/>
        </w:rPr>
      </w:pPr>
    </w:p>
    <w:p w14:paraId="525A652E" w14:textId="60EDD318" w:rsidR="007362F2" w:rsidRDefault="007362F2" w:rsidP="007362F2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13263F"/>
          <w:sz w:val="24"/>
          <w:szCs w:val="24"/>
          <w:lang w:eastAsia="en-GB"/>
        </w:rPr>
      </w:pPr>
      <w:r>
        <w:rPr>
          <w:rFonts w:eastAsia="Times New Roman" w:cstheme="minorHAnsi"/>
          <w:color w:val="13263F"/>
          <w:sz w:val="24"/>
          <w:szCs w:val="24"/>
          <w:lang w:eastAsia="en-GB"/>
        </w:rPr>
        <w:t xml:space="preserve">Due to the school going through a significant amount of change we would like to change the structure of Governors </w:t>
      </w:r>
      <w:r w:rsidR="00043E62">
        <w:rPr>
          <w:rFonts w:eastAsia="Times New Roman" w:cstheme="minorHAnsi"/>
          <w:color w:val="13263F"/>
          <w:sz w:val="24"/>
          <w:szCs w:val="24"/>
          <w:lang w:eastAsia="en-GB"/>
        </w:rPr>
        <w:t>meeting;</w:t>
      </w:r>
      <w:r>
        <w:rPr>
          <w:rFonts w:eastAsia="Times New Roman" w:cstheme="minorHAnsi"/>
          <w:color w:val="13263F"/>
          <w:sz w:val="24"/>
          <w:szCs w:val="24"/>
          <w:lang w:eastAsia="en-GB"/>
        </w:rPr>
        <w:t xml:space="preserve"> this would involve moving to the circle model. </w:t>
      </w:r>
      <w:r w:rsidR="00043E62">
        <w:rPr>
          <w:rFonts w:eastAsia="Times New Roman" w:cstheme="minorHAnsi"/>
          <w:color w:val="13263F"/>
          <w:sz w:val="24"/>
          <w:szCs w:val="24"/>
          <w:lang w:eastAsia="en-GB"/>
        </w:rPr>
        <w:t xml:space="preserve">This is due to the opening of the Dean Row provision and the expansion of the Crewe site it is important all Governors have the same information in a timely manner. </w:t>
      </w:r>
    </w:p>
    <w:p w14:paraId="3AE80AE3" w14:textId="0D9C9505" w:rsidR="007362F2" w:rsidRDefault="007362F2" w:rsidP="007362F2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13263F"/>
          <w:sz w:val="24"/>
          <w:szCs w:val="24"/>
          <w:lang w:eastAsia="en-GB"/>
        </w:rPr>
      </w:pPr>
      <w:r w:rsidRPr="007362F2">
        <w:rPr>
          <w:rFonts w:eastAsia="Times New Roman" w:cstheme="minorHAnsi"/>
          <w:color w:val="13263F"/>
          <w:sz w:val="24"/>
          <w:szCs w:val="24"/>
          <w:lang w:eastAsia="en-GB"/>
        </w:rPr>
        <w:t>Maintained school governing boards aren't required to have any committees. So some choose to operate without them - this is also known as </w:t>
      </w:r>
      <w:hyperlink r:id="rId5" w:history="1">
        <w:r w:rsidRPr="007362F2">
          <w:rPr>
            <w:rFonts w:eastAsia="Times New Roman" w:cstheme="minorHAnsi"/>
            <w:color w:val="0072CC"/>
            <w:sz w:val="24"/>
            <w:szCs w:val="24"/>
            <w:lang w:eastAsia="en-GB"/>
          </w:rPr>
          <w:t>the 'circle model'</w:t>
        </w:r>
      </w:hyperlink>
      <w:r w:rsidRPr="007362F2">
        <w:rPr>
          <w:rFonts w:eastAsia="Times New Roman" w:cstheme="minorHAnsi"/>
          <w:color w:val="13263F"/>
          <w:sz w:val="24"/>
          <w:szCs w:val="24"/>
          <w:lang w:eastAsia="en-GB"/>
        </w:rPr>
        <w:t>. </w:t>
      </w:r>
    </w:p>
    <w:p w14:paraId="4B0D9318" w14:textId="4E2C71B1" w:rsidR="00AD02E1" w:rsidRPr="007362F2" w:rsidRDefault="00AD02E1" w:rsidP="00AD02E1">
      <w:pPr>
        <w:rPr>
          <w:b/>
          <w:bCs/>
          <w:sz w:val="24"/>
          <w:szCs w:val="24"/>
          <w:u w:val="single"/>
          <w:lang w:eastAsia="en-GB"/>
        </w:rPr>
      </w:pPr>
      <w:r w:rsidRPr="00AD02E1">
        <w:rPr>
          <w:b/>
          <w:bCs/>
          <w:sz w:val="24"/>
          <w:szCs w:val="24"/>
          <w:u w:val="single"/>
        </w:rPr>
        <w:t xml:space="preserve">ADVANTAGES </w:t>
      </w:r>
    </w:p>
    <w:p w14:paraId="763A7B48" w14:textId="77777777" w:rsidR="007362F2" w:rsidRPr="007362F2" w:rsidRDefault="007362F2" w:rsidP="007362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3263F"/>
          <w:sz w:val="24"/>
          <w:szCs w:val="24"/>
          <w:lang w:eastAsia="en-GB"/>
        </w:rPr>
      </w:pPr>
      <w:r w:rsidRPr="007362F2">
        <w:rPr>
          <w:rFonts w:eastAsia="Times New Roman" w:cstheme="minorHAnsi"/>
          <w:color w:val="13263F"/>
          <w:sz w:val="24"/>
          <w:szCs w:val="24"/>
          <w:lang w:eastAsia="en-GB"/>
        </w:rPr>
        <w:t>It's easier for the chair and headteacher to maintain strategic control of the agenda and decision-making</w:t>
      </w:r>
    </w:p>
    <w:p w14:paraId="3C986295" w14:textId="77777777" w:rsidR="007362F2" w:rsidRPr="007362F2" w:rsidRDefault="007362F2" w:rsidP="007362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3263F"/>
          <w:sz w:val="24"/>
          <w:szCs w:val="24"/>
          <w:lang w:eastAsia="en-GB"/>
        </w:rPr>
      </w:pPr>
      <w:r w:rsidRPr="007362F2">
        <w:rPr>
          <w:rFonts w:eastAsia="Times New Roman" w:cstheme="minorHAnsi"/>
          <w:color w:val="13263F"/>
          <w:sz w:val="24"/>
          <w:szCs w:val="24"/>
          <w:lang w:eastAsia="en-GB"/>
        </w:rPr>
        <w:t>There aren't specialisms - so everyone has a degree of proficiency across all areas of governance</w:t>
      </w:r>
    </w:p>
    <w:p w14:paraId="3D0AB77C" w14:textId="77777777" w:rsidR="007362F2" w:rsidRPr="007362F2" w:rsidRDefault="007362F2" w:rsidP="007362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3263F"/>
          <w:sz w:val="24"/>
          <w:szCs w:val="24"/>
          <w:lang w:eastAsia="en-GB"/>
        </w:rPr>
      </w:pPr>
      <w:r w:rsidRPr="007362F2">
        <w:rPr>
          <w:rFonts w:eastAsia="Times New Roman" w:cstheme="minorHAnsi"/>
          <w:color w:val="13263F"/>
          <w:sz w:val="24"/>
          <w:szCs w:val="24"/>
          <w:lang w:eastAsia="en-GB"/>
        </w:rPr>
        <w:t>All governors have access to information and reporting at the same time - this can avoid repetition and prevent mixed messages</w:t>
      </w:r>
    </w:p>
    <w:p w14:paraId="5F2DE337" w14:textId="77777777" w:rsidR="007362F2" w:rsidRPr="007362F2" w:rsidRDefault="007362F2" w:rsidP="007362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3263F"/>
          <w:sz w:val="24"/>
          <w:szCs w:val="24"/>
          <w:lang w:eastAsia="en-GB"/>
        </w:rPr>
      </w:pPr>
      <w:r w:rsidRPr="007362F2">
        <w:rPr>
          <w:rFonts w:eastAsia="Times New Roman" w:cstheme="minorHAnsi"/>
          <w:color w:val="13263F"/>
          <w:sz w:val="24"/>
          <w:szCs w:val="24"/>
          <w:lang w:eastAsia="en-GB"/>
        </w:rPr>
        <w:t>It can promote teamwork among governors</w:t>
      </w:r>
    </w:p>
    <w:p w14:paraId="7E72A6A5" w14:textId="77777777" w:rsidR="007362F2" w:rsidRPr="007362F2" w:rsidRDefault="007362F2" w:rsidP="007362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3263F"/>
          <w:sz w:val="24"/>
          <w:szCs w:val="24"/>
          <w:lang w:eastAsia="en-GB"/>
        </w:rPr>
      </w:pPr>
      <w:r w:rsidRPr="007362F2">
        <w:rPr>
          <w:rFonts w:eastAsia="Times New Roman" w:cstheme="minorHAnsi"/>
          <w:color w:val="13263F"/>
          <w:sz w:val="24"/>
          <w:szCs w:val="24"/>
          <w:lang w:eastAsia="en-GB"/>
        </w:rPr>
        <w:t>Some decisions can only be made by the full governing board, so it may save discussion time</w:t>
      </w:r>
    </w:p>
    <w:p w14:paraId="0F6FF6D7" w14:textId="77777777" w:rsidR="007362F2" w:rsidRPr="007362F2" w:rsidRDefault="007362F2" w:rsidP="007362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3263F"/>
          <w:sz w:val="24"/>
          <w:szCs w:val="24"/>
          <w:lang w:eastAsia="en-GB"/>
        </w:rPr>
      </w:pPr>
      <w:r w:rsidRPr="007362F2">
        <w:rPr>
          <w:rFonts w:eastAsia="Times New Roman" w:cstheme="minorHAnsi"/>
          <w:color w:val="13263F"/>
          <w:sz w:val="24"/>
          <w:szCs w:val="24"/>
          <w:lang w:eastAsia="en-GB"/>
        </w:rPr>
        <w:t xml:space="preserve">No committees </w:t>
      </w:r>
      <w:proofErr w:type="gramStart"/>
      <w:r w:rsidRPr="007362F2">
        <w:rPr>
          <w:rFonts w:eastAsia="Times New Roman" w:cstheme="minorHAnsi"/>
          <w:color w:val="13263F"/>
          <w:sz w:val="24"/>
          <w:szCs w:val="24"/>
          <w:lang w:eastAsia="en-GB"/>
        </w:rPr>
        <w:t>means</w:t>
      </w:r>
      <w:proofErr w:type="gramEnd"/>
      <w:r w:rsidRPr="007362F2">
        <w:rPr>
          <w:rFonts w:eastAsia="Times New Roman" w:cstheme="minorHAnsi"/>
          <w:color w:val="13263F"/>
          <w:sz w:val="24"/>
          <w:szCs w:val="24"/>
          <w:lang w:eastAsia="en-GB"/>
        </w:rPr>
        <w:t xml:space="preserve"> the chair and headteacher may be able to manage communications more effectively, especially if the school is going through significant change or crisis</w:t>
      </w:r>
    </w:p>
    <w:p w14:paraId="555D42FD" w14:textId="77777777" w:rsidR="007362F2" w:rsidRPr="007362F2" w:rsidRDefault="007362F2" w:rsidP="007362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3263F"/>
          <w:sz w:val="24"/>
          <w:szCs w:val="24"/>
          <w:lang w:eastAsia="en-GB"/>
        </w:rPr>
      </w:pPr>
      <w:r w:rsidRPr="007362F2">
        <w:rPr>
          <w:rFonts w:eastAsia="Times New Roman" w:cstheme="minorHAnsi"/>
          <w:color w:val="13263F"/>
          <w:sz w:val="24"/>
          <w:szCs w:val="24"/>
          <w:lang w:eastAsia="en-GB"/>
        </w:rPr>
        <w:t>There may be fewer meetings, so governor participation may improve</w:t>
      </w:r>
    </w:p>
    <w:p w14:paraId="75DFB62E" w14:textId="77777777" w:rsidR="007362F2" w:rsidRPr="007362F2" w:rsidRDefault="007362F2" w:rsidP="007362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3263F"/>
          <w:sz w:val="24"/>
          <w:szCs w:val="24"/>
          <w:lang w:eastAsia="en-GB"/>
        </w:rPr>
      </w:pPr>
      <w:r w:rsidRPr="007362F2">
        <w:rPr>
          <w:rFonts w:eastAsia="Times New Roman" w:cstheme="minorHAnsi"/>
          <w:color w:val="13263F"/>
          <w:sz w:val="24"/>
          <w:szCs w:val="24"/>
          <w:lang w:eastAsia="en-GB"/>
        </w:rPr>
        <w:t>No need to agree terms of reference or committee membership</w:t>
      </w:r>
    </w:p>
    <w:p w14:paraId="0119BAB4" w14:textId="76946919" w:rsidR="007362F2" w:rsidRDefault="00043E62">
      <w:pPr>
        <w:rPr>
          <w:sz w:val="24"/>
          <w:szCs w:val="24"/>
        </w:rPr>
      </w:pPr>
      <w:r w:rsidRPr="00043E62">
        <w:rPr>
          <w:sz w:val="24"/>
          <w:szCs w:val="24"/>
        </w:rPr>
        <w:t xml:space="preserve">The only </w:t>
      </w:r>
      <w:r>
        <w:rPr>
          <w:sz w:val="24"/>
          <w:szCs w:val="24"/>
        </w:rPr>
        <w:t xml:space="preserve">committee to operate would be the ‘Pay Committee’ to ensure any appeals are effectively managed. </w:t>
      </w:r>
    </w:p>
    <w:p w14:paraId="3690C9FC" w14:textId="77777777" w:rsidR="00AD02E1" w:rsidRPr="00AD02E1" w:rsidRDefault="00AD02E1">
      <w:pPr>
        <w:rPr>
          <w:sz w:val="24"/>
          <w:szCs w:val="24"/>
          <w:u w:val="single"/>
        </w:rPr>
      </w:pPr>
    </w:p>
    <w:p w14:paraId="292455D0" w14:textId="5DD29E2F" w:rsidR="00AD02E1" w:rsidRDefault="00AD02E1">
      <w:pPr>
        <w:rPr>
          <w:b/>
          <w:bCs/>
          <w:sz w:val="24"/>
          <w:szCs w:val="24"/>
          <w:u w:val="single"/>
        </w:rPr>
      </w:pPr>
      <w:r w:rsidRPr="00AD02E1">
        <w:rPr>
          <w:b/>
          <w:bCs/>
          <w:sz w:val="24"/>
          <w:szCs w:val="24"/>
          <w:u w:val="single"/>
        </w:rPr>
        <w:t>DRAFT ROLES AND RESPONSIBILITIES ARE AS FOLLOWS:</w:t>
      </w:r>
    </w:p>
    <w:tbl>
      <w:tblPr>
        <w:tblStyle w:val="TableGrid"/>
        <w:tblpPr w:leftFromText="180" w:rightFromText="180" w:vertAnchor="text" w:horzAnchor="margin" w:tblpY="159"/>
        <w:tblW w:w="9894" w:type="dxa"/>
        <w:tblLook w:val="04A0" w:firstRow="1" w:lastRow="0" w:firstColumn="1" w:lastColumn="0" w:noHBand="0" w:noVBand="1"/>
      </w:tblPr>
      <w:tblGrid>
        <w:gridCol w:w="2600"/>
        <w:gridCol w:w="3070"/>
        <w:gridCol w:w="4224"/>
      </w:tblGrid>
      <w:tr w:rsidR="00AD02E1" w:rsidRPr="000124A8" w14:paraId="748EF3DD" w14:textId="77777777" w:rsidTr="00AD02E1">
        <w:tc>
          <w:tcPr>
            <w:tcW w:w="2600" w:type="dxa"/>
          </w:tcPr>
          <w:p w14:paraId="69B3B478" w14:textId="77777777" w:rsidR="00AD02E1" w:rsidRPr="000124A8" w:rsidRDefault="00AD02E1" w:rsidP="00AD02E1">
            <w:pPr>
              <w:rPr>
                <w:b/>
                <w:bCs/>
              </w:rPr>
            </w:pPr>
            <w:bookmarkStart w:id="0" w:name="_Hlk113875433"/>
          </w:p>
        </w:tc>
        <w:tc>
          <w:tcPr>
            <w:tcW w:w="3070" w:type="dxa"/>
          </w:tcPr>
          <w:p w14:paraId="2E1F5396" w14:textId="77777777" w:rsidR="00AD02E1" w:rsidRPr="000124A8" w:rsidRDefault="00AD02E1" w:rsidP="00AD02E1">
            <w:pPr>
              <w:rPr>
                <w:b/>
                <w:bCs/>
              </w:rPr>
            </w:pPr>
            <w:r w:rsidRPr="000124A8">
              <w:rPr>
                <w:b/>
                <w:bCs/>
              </w:rPr>
              <w:t xml:space="preserve">Key Stage Link </w:t>
            </w:r>
          </w:p>
        </w:tc>
        <w:tc>
          <w:tcPr>
            <w:tcW w:w="4224" w:type="dxa"/>
          </w:tcPr>
          <w:p w14:paraId="02D65BDE" w14:textId="77777777" w:rsidR="00AD02E1" w:rsidRPr="000124A8" w:rsidRDefault="00AD02E1" w:rsidP="00AD02E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School Area </w:t>
            </w:r>
            <w:r w:rsidRPr="000124A8">
              <w:rPr>
                <w:b/>
                <w:bCs/>
              </w:rPr>
              <w:t xml:space="preserve">Role </w:t>
            </w:r>
          </w:p>
        </w:tc>
      </w:tr>
      <w:tr w:rsidR="00AD02E1" w14:paraId="5FEFC66C" w14:textId="77777777" w:rsidTr="00AD02E1">
        <w:tc>
          <w:tcPr>
            <w:tcW w:w="2600" w:type="dxa"/>
          </w:tcPr>
          <w:p w14:paraId="2B2E698A" w14:textId="77777777" w:rsidR="00AD02E1" w:rsidRDefault="00AD02E1" w:rsidP="00AD02E1">
            <w:r>
              <w:t xml:space="preserve">David Griffith </w:t>
            </w:r>
          </w:p>
        </w:tc>
        <w:tc>
          <w:tcPr>
            <w:tcW w:w="3070" w:type="dxa"/>
          </w:tcPr>
          <w:p w14:paraId="2E938E1A" w14:textId="77777777" w:rsidR="00AD02E1" w:rsidRDefault="00AD02E1" w:rsidP="00AD02E1">
            <w:r>
              <w:t>KS4</w:t>
            </w:r>
          </w:p>
        </w:tc>
        <w:tc>
          <w:tcPr>
            <w:tcW w:w="4224" w:type="dxa"/>
          </w:tcPr>
          <w:p w14:paraId="6DBF5369" w14:textId="77777777" w:rsidR="00AD02E1" w:rsidRDefault="00AD02E1" w:rsidP="00AD02E1">
            <w:r>
              <w:t xml:space="preserve">Health and Safety – Overview of all roles </w:t>
            </w:r>
          </w:p>
        </w:tc>
      </w:tr>
      <w:tr w:rsidR="00AD02E1" w14:paraId="6C0D4D20" w14:textId="77777777" w:rsidTr="00AD02E1">
        <w:tc>
          <w:tcPr>
            <w:tcW w:w="2600" w:type="dxa"/>
          </w:tcPr>
          <w:p w14:paraId="0C9C1101" w14:textId="77777777" w:rsidR="00AD02E1" w:rsidRDefault="00AD02E1" w:rsidP="00AD02E1">
            <w:r>
              <w:t xml:space="preserve">Judy Colclough </w:t>
            </w:r>
          </w:p>
        </w:tc>
        <w:tc>
          <w:tcPr>
            <w:tcW w:w="3070" w:type="dxa"/>
          </w:tcPr>
          <w:p w14:paraId="5A44F8D3" w14:textId="77777777" w:rsidR="00AD02E1" w:rsidRDefault="00AD02E1" w:rsidP="00AD02E1">
            <w:r>
              <w:t>EYFS</w:t>
            </w:r>
          </w:p>
        </w:tc>
        <w:tc>
          <w:tcPr>
            <w:tcW w:w="4224" w:type="dxa"/>
          </w:tcPr>
          <w:p w14:paraId="230AAFF7" w14:textId="77777777" w:rsidR="00AD02E1" w:rsidRDefault="00AD02E1" w:rsidP="00AD02E1">
            <w:r>
              <w:t>Behaviour and Attitudes and Attendance</w:t>
            </w:r>
          </w:p>
        </w:tc>
      </w:tr>
      <w:tr w:rsidR="00AD02E1" w14:paraId="79F0703F" w14:textId="77777777" w:rsidTr="00AD02E1">
        <w:tc>
          <w:tcPr>
            <w:tcW w:w="2600" w:type="dxa"/>
          </w:tcPr>
          <w:p w14:paraId="5554BFE2" w14:textId="77777777" w:rsidR="00AD02E1" w:rsidRDefault="00AD02E1" w:rsidP="00AD02E1">
            <w:r>
              <w:t>Donna Guy</w:t>
            </w:r>
          </w:p>
        </w:tc>
        <w:tc>
          <w:tcPr>
            <w:tcW w:w="3070" w:type="dxa"/>
          </w:tcPr>
          <w:p w14:paraId="2F52134D" w14:textId="77777777" w:rsidR="00AD02E1" w:rsidRDefault="00AD02E1" w:rsidP="00AD02E1">
            <w:r>
              <w:t xml:space="preserve">KS3 </w:t>
            </w:r>
          </w:p>
        </w:tc>
        <w:tc>
          <w:tcPr>
            <w:tcW w:w="4224" w:type="dxa"/>
          </w:tcPr>
          <w:p w14:paraId="7ABB2E69" w14:textId="77777777" w:rsidR="00AD02E1" w:rsidRDefault="00AD02E1" w:rsidP="00AD02E1">
            <w:r>
              <w:t>Safeguarding</w:t>
            </w:r>
          </w:p>
        </w:tc>
      </w:tr>
      <w:tr w:rsidR="00AD02E1" w14:paraId="733EA41E" w14:textId="77777777" w:rsidTr="00AD02E1">
        <w:tc>
          <w:tcPr>
            <w:tcW w:w="2600" w:type="dxa"/>
          </w:tcPr>
          <w:p w14:paraId="180F15B4" w14:textId="77777777" w:rsidR="00AD02E1" w:rsidRDefault="00AD02E1" w:rsidP="00AD02E1">
            <w:r>
              <w:t>Darren Hughes</w:t>
            </w:r>
          </w:p>
        </w:tc>
        <w:tc>
          <w:tcPr>
            <w:tcW w:w="3070" w:type="dxa"/>
          </w:tcPr>
          <w:p w14:paraId="15C054C3" w14:textId="77777777" w:rsidR="00AD02E1" w:rsidRDefault="00AD02E1" w:rsidP="00AD02E1">
            <w:r>
              <w:t xml:space="preserve">KS2 </w:t>
            </w:r>
          </w:p>
        </w:tc>
        <w:tc>
          <w:tcPr>
            <w:tcW w:w="4224" w:type="dxa"/>
          </w:tcPr>
          <w:p w14:paraId="0E80836D" w14:textId="77777777" w:rsidR="00AD02E1" w:rsidRDefault="00AD02E1" w:rsidP="00AD02E1">
            <w:r>
              <w:t>Behaviour and Attitudes and Attendance</w:t>
            </w:r>
          </w:p>
        </w:tc>
      </w:tr>
      <w:tr w:rsidR="00AD02E1" w14:paraId="22AA1123" w14:textId="77777777" w:rsidTr="00AD02E1">
        <w:tc>
          <w:tcPr>
            <w:tcW w:w="2600" w:type="dxa"/>
          </w:tcPr>
          <w:p w14:paraId="452B0397" w14:textId="77777777" w:rsidR="00AD02E1" w:rsidRDefault="00AD02E1" w:rsidP="00AD02E1">
            <w:r>
              <w:t>Keith Thomas</w:t>
            </w:r>
          </w:p>
        </w:tc>
        <w:tc>
          <w:tcPr>
            <w:tcW w:w="3070" w:type="dxa"/>
          </w:tcPr>
          <w:p w14:paraId="1E3598E4" w14:textId="77777777" w:rsidR="00AD02E1" w:rsidRDefault="00AD02E1" w:rsidP="00AD02E1">
            <w:r>
              <w:t xml:space="preserve">KS5 </w:t>
            </w:r>
          </w:p>
        </w:tc>
        <w:tc>
          <w:tcPr>
            <w:tcW w:w="4224" w:type="dxa"/>
          </w:tcPr>
          <w:p w14:paraId="09371EED" w14:textId="77777777" w:rsidR="00AD02E1" w:rsidRDefault="00AD02E1" w:rsidP="00AD02E1">
            <w:r>
              <w:t>Finance</w:t>
            </w:r>
          </w:p>
        </w:tc>
      </w:tr>
      <w:tr w:rsidR="00AD02E1" w14:paraId="56B3D153" w14:textId="77777777" w:rsidTr="00AD02E1">
        <w:tc>
          <w:tcPr>
            <w:tcW w:w="2600" w:type="dxa"/>
          </w:tcPr>
          <w:p w14:paraId="7160378A" w14:textId="77777777" w:rsidR="00AD02E1" w:rsidRDefault="00AD02E1" w:rsidP="00AD02E1">
            <w:r>
              <w:t xml:space="preserve">Lyndsey O Connell </w:t>
            </w:r>
          </w:p>
        </w:tc>
        <w:tc>
          <w:tcPr>
            <w:tcW w:w="3070" w:type="dxa"/>
          </w:tcPr>
          <w:p w14:paraId="133FA272" w14:textId="77777777" w:rsidR="00AD02E1" w:rsidRDefault="00AD02E1" w:rsidP="00AD02E1">
            <w:r>
              <w:t xml:space="preserve">KS1 </w:t>
            </w:r>
          </w:p>
        </w:tc>
        <w:tc>
          <w:tcPr>
            <w:tcW w:w="4224" w:type="dxa"/>
          </w:tcPr>
          <w:p w14:paraId="0B47A5E4" w14:textId="77777777" w:rsidR="00AD02E1" w:rsidRDefault="00AD02E1" w:rsidP="00AD02E1">
            <w:r>
              <w:t>Quality of Education / Pupil Premium</w:t>
            </w:r>
          </w:p>
        </w:tc>
      </w:tr>
      <w:tr w:rsidR="00AD02E1" w14:paraId="553FA66A" w14:textId="77777777" w:rsidTr="00AD02E1">
        <w:tc>
          <w:tcPr>
            <w:tcW w:w="2600" w:type="dxa"/>
          </w:tcPr>
          <w:p w14:paraId="4B725184" w14:textId="77777777" w:rsidR="00AD02E1" w:rsidRDefault="00AD02E1" w:rsidP="00AD02E1">
            <w:r>
              <w:t>Amar Rai</w:t>
            </w:r>
          </w:p>
        </w:tc>
        <w:tc>
          <w:tcPr>
            <w:tcW w:w="3070" w:type="dxa"/>
          </w:tcPr>
          <w:p w14:paraId="7BAE1229" w14:textId="77777777" w:rsidR="00AD02E1" w:rsidRDefault="00AD02E1" w:rsidP="00AD02E1">
            <w:r>
              <w:t xml:space="preserve">Springboard </w:t>
            </w:r>
          </w:p>
        </w:tc>
        <w:tc>
          <w:tcPr>
            <w:tcW w:w="4224" w:type="dxa"/>
          </w:tcPr>
          <w:p w14:paraId="5FFBAD99" w14:textId="77777777" w:rsidR="00AD02E1" w:rsidRDefault="00AD02E1" w:rsidP="00AD02E1">
            <w:r>
              <w:t>Wellbeing for Staff and pupils</w:t>
            </w:r>
          </w:p>
        </w:tc>
      </w:tr>
      <w:tr w:rsidR="00AD02E1" w14:paraId="48950864" w14:textId="77777777" w:rsidTr="00AD02E1">
        <w:tc>
          <w:tcPr>
            <w:tcW w:w="2600" w:type="dxa"/>
          </w:tcPr>
          <w:p w14:paraId="05E01690" w14:textId="77777777" w:rsidR="00AD02E1" w:rsidRDefault="00AD02E1" w:rsidP="00AD02E1">
            <w:r>
              <w:t xml:space="preserve">Mike </w:t>
            </w:r>
            <w:proofErr w:type="spellStart"/>
            <w:r>
              <w:t>Cladingbowl</w:t>
            </w:r>
            <w:proofErr w:type="spellEnd"/>
            <w:r>
              <w:t xml:space="preserve"> </w:t>
            </w:r>
          </w:p>
        </w:tc>
        <w:tc>
          <w:tcPr>
            <w:tcW w:w="3070" w:type="dxa"/>
          </w:tcPr>
          <w:p w14:paraId="00CE54EE" w14:textId="77777777" w:rsidR="00AD02E1" w:rsidRDefault="00AD02E1" w:rsidP="00AD02E1">
            <w:r>
              <w:t xml:space="preserve">Alternative Provision </w:t>
            </w:r>
          </w:p>
        </w:tc>
        <w:tc>
          <w:tcPr>
            <w:tcW w:w="4224" w:type="dxa"/>
          </w:tcPr>
          <w:p w14:paraId="069CCDEF" w14:textId="77777777" w:rsidR="00AD02E1" w:rsidRDefault="00AD02E1" w:rsidP="00AD02E1">
            <w:r>
              <w:t>Quality of Education / Assessment and Data</w:t>
            </w:r>
          </w:p>
        </w:tc>
      </w:tr>
      <w:tr w:rsidR="00AD02E1" w14:paraId="2580EB61" w14:textId="77777777" w:rsidTr="00AD02E1">
        <w:tc>
          <w:tcPr>
            <w:tcW w:w="2600" w:type="dxa"/>
          </w:tcPr>
          <w:p w14:paraId="186FBD01" w14:textId="77777777" w:rsidR="00AD02E1" w:rsidRDefault="00AD02E1" w:rsidP="00AD02E1">
            <w:r>
              <w:t xml:space="preserve">Karin Stringer </w:t>
            </w:r>
          </w:p>
        </w:tc>
        <w:tc>
          <w:tcPr>
            <w:tcW w:w="3070" w:type="dxa"/>
          </w:tcPr>
          <w:p w14:paraId="11B28D55" w14:textId="77777777" w:rsidR="00AD02E1" w:rsidRDefault="00AD02E1" w:rsidP="00AD02E1">
            <w:r>
              <w:t xml:space="preserve">Leavers </w:t>
            </w:r>
          </w:p>
        </w:tc>
        <w:tc>
          <w:tcPr>
            <w:tcW w:w="4224" w:type="dxa"/>
          </w:tcPr>
          <w:p w14:paraId="09E4B1AD" w14:textId="77777777" w:rsidR="00AD02E1" w:rsidRDefault="00AD02E1" w:rsidP="00AD02E1">
            <w:r>
              <w:t>Careers</w:t>
            </w:r>
          </w:p>
        </w:tc>
      </w:tr>
      <w:bookmarkEnd w:id="0"/>
    </w:tbl>
    <w:p w14:paraId="0CB59F63" w14:textId="77777777" w:rsidR="00AD02E1" w:rsidRPr="00AD02E1" w:rsidRDefault="00AD02E1">
      <w:pPr>
        <w:rPr>
          <w:b/>
          <w:bCs/>
          <w:sz w:val="24"/>
          <w:szCs w:val="24"/>
          <w:u w:val="single"/>
        </w:rPr>
      </w:pPr>
    </w:p>
    <w:p w14:paraId="20579030" w14:textId="6BA1A395" w:rsidR="00AD02E1" w:rsidRDefault="00AD02E1">
      <w:pPr>
        <w:rPr>
          <w:sz w:val="24"/>
          <w:szCs w:val="24"/>
        </w:rPr>
      </w:pPr>
    </w:p>
    <w:p w14:paraId="67968284" w14:textId="38E33F80" w:rsidR="00AD02E1" w:rsidRDefault="00AD02E1">
      <w:pPr>
        <w:rPr>
          <w:b/>
          <w:bCs/>
          <w:sz w:val="24"/>
          <w:szCs w:val="24"/>
          <w:u w:val="single"/>
        </w:rPr>
      </w:pPr>
      <w:r w:rsidRPr="00AD02E1">
        <w:rPr>
          <w:b/>
          <w:bCs/>
          <w:sz w:val="24"/>
          <w:szCs w:val="24"/>
          <w:u w:val="single"/>
        </w:rPr>
        <w:lastRenderedPageBreak/>
        <w:t>DATES AND AGENDAS</w:t>
      </w:r>
    </w:p>
    <w:p w14:paraId="2F0812AC" w14:textId="4CEA0FD4" w:rsidR="00AD02E1" w:rsidRDefault="00AD02E1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All meeting will run from 5.30pm – 7.00pm </w:t>
      </w:r>
    </w:p>
    <w:p w14:paraId="4A6E050B" w14:textId="39EA2FDB" w:rsidR="00DE0F3E" w:rsidRPr="00AD02E1" w:rsidRDefault="00DE0F3E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Although we will discuss all elements on each agenda the ‘Key Focus’ are listed below:</w:t>
      </w:r>
    </w:p>
    <w:p w14:paraId="0ACAD484" w14:textId="71E9CB57" w:rsidR="00AD02E1" w:rsidRPr="00E15107" w:rsidRDefault="00AD02E1" w:rsidP="00AD02E1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323130"/>
          <w:sz w:val="22"/>
          <w:szCs w:val="22"/>
        </w:rPr>
      </w:pPr>
      <w:r w:rsidRPr="00E15107">
        <w:rPr>
          <w:rFonts w:ascii="Calibri" w:hAnsi="Calibri" w:cs="Calibri"/>
          <w:b/>
          <w:bCs/>
          <w:color w:val="323130"/>
          <w:sz w:val="22"/>
          <w:szCs w:val="22"/>
          <w:bdr w:val="none" w:sz="0" w:space="0" w:color="auto" w:frame="1"/>
        </w:rPr>
        <w:t>Thursday 13</w:t>
      </w:r>
      <w:r w:rsidRPr="00E15107">
        <w:rPr>
          <w:rFonts w:ascii="Calibri" w:hAnsi="Calibri" w:cs="Calibri"/>
          <w:b/>
          <w:bCs/>
          <w:color w:val="323130"/>
          <w:sz w:val="22"/>
          <w:szCs w:val="22"/>
          <w:bdr w:val="none" w:sz="0" w:space="0" w:color="auto" w:frame="1"/>
          <w:vertAlign w:val="superscript"/>
        </w:rPr>
        <w:t>th</w:t>
      </w:r>
      <w:r w:rsidRPr="00E15107">
        <w:rPr>
          <w:rFonts w:ascii="Calibri" w:hAnsi="Calibri" w:cs="Calibri"/>
          <w:b/>
          <w:bCs/>
          <w:color w:val="323130"/>
          <w:sz w:val="22"/>
          <w:szCs w:val="22"/>
          <w:bdr w:val="none" w:sz="0" w:space="0" w:color="auto" w:frame="1"/>
        </w:rPr>
        <w:t xml:space="preserve"> October 2022 </w:t>
      </w:r>
    </w:p>
    <w:p w14:paraId="312ACFB4" w14:textId="4C4149E9" w:rsidR="00DE0F3E" w:rsidRPr="00DE0F3E" w:rsidRDefault="00DE0F3E" w:rsidP="00DE0F3E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323130"/>
          <w:sz w:val="22"/>
          <w:szCs w:val="22"/>
          <w:bdr w:val="none" w:sz="0" w:space="0" w:color="auto" w:frame="1"/>
        </w:rPr>
        <w:t xml:space="preserve">Teaching and Learning </w:t>
      </w:r>
    </w:p>
    <w:p w14:paraId="44ACD94D" w14:textId="1FA2005E" w:rsidR="00DE0F3E" w:rsidRPr="00DE0F3E" w:rsidRDefault="00DE0F3E" w:rsidP="00DE0F3E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323130"/>
          <w:sz w:val="22"/>
          <w:szCs w:val="22"/>
          <w:bdr w:val="none" w:sz="0" w:space="0" w:color="auto" w:frame="1"/>
        </w:rPr>
        <w:t xml:space="preserve">Data and Assessment </w:t>
      </w:r>
    </w:p>
    <w:p w14:paraId="24F4CCA0" w14:textId="1D6819E0" w:rsidR="00DE0F3E" w:rsidRPr="00AD02E1" w:rsidRDefault="00DE0F3E" w:rsidP="00DE0F3E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323130"/>
          <w:sz w:val="22"/>
          <w:szCs w:val="22"/>
          <w:bdr w:val="none" w:sz="0" w:space="0" w:color="auto" w:frame="1"/>
        </w:rPr>
        <w:t xml:space="preserve">Safeguarding </w:t>
      </w:r>
    </w:p>
    <w:p w14:paraId="2054C0C2" w14:textId="77777777" w:rsidR="00AD02E1" w:rsidRPr="00AD02E1" w:rsidRDefault="00AD02E1" w:rsidP="00AD02E1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323130"/>
          <w:sz w:val="22"/>
          <w:szCs w:val="22"/>
        </w:rPr>
      </w:pPr>
    </w:p>
    <w:p w14:paraId="322F1370" w14:textId="3DB55D5F" w:rsidR="00AD02E1" w:rsidRPr="00E15107" w:rsidRDefault="00AD02E1" w:rsidP="00AD02E1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323130"/>
          <w:sz w:val="22"/>
          <w:szCs w:val="22"/>
        </w:rPr>
      </w:pPr>
      <w:r w:rsidRPr="00E15107">
        <w:rPr>
          <w:rFonts w:ascii="Calibri" w:hAnsi="Calibri" w:cs="Calibri"/>
          <w:b/>
          <w:bCs/>
          <w:color w:val="323130"/>
          <w:sz w:val="22"/>
          <w:szCs w:val="22"/>
          <w:bdr w:val="none" w:sz="0" w:space="0" w:color="auto" w:frame="1"/>
        </w:rPr>
        <w:t>Thursday 17</w:t>
      </w:r>
      <w:r w:rsidRPr="00E15107">
        <w:rPr>
          <w:rFonts w:ascii="Calibri" w:hAnsi="Calibri" w:cs="Calibri"/>
          <w:b/>
          <w:bCs/>
          <w:color w:val="323130"/>
          <w:sz w:val="22"/>
          <w:szCs w:val="22"/>
          <w:bdr w:val="none" w:sz="0" w:space="0" w:color="auto" w:frame="1"/>
          <w:vertAlign w:val="superscript"/>
        </w:rPr>
        <w:t>th</w:t>
      </w:r>
      <w:r w:rsidRPr="00E15107">
        <w:rPr>
          <w:rFonts w:ascii="Calibri" w:hAnsi="Calibri" w:cs="Calibri"/>
          <w:b/>
          <w:bCs/>
          <w:color w:val="323130"/>
          <w:sz w:val="22"/>
          <w:szCs w:val="22"/>
          <w:bdr w:val="none" w:sz="0" w:space="0" w:color="auto" w:frame="1"/>
        </w:rPr>
        <w:t xml:space="preserve"> November 2022 </w:t>
      </w:r>
    </w:p>
    <w:p w14:paraId="5381B5E3" w14:textId="304C83B1" w:rsidR="00DE0F3E" w:rsidRDefault="00DE0F3E" w:rsidP="00DE0F3E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323130"/>
          <w:sz w:val="22"/>
          <w:szCs w:val="22"/>
          <w:bdr w:val="none" w:sz="0" w:space="0" w:color="auto" w:frame="1"/>
        </w:rPr>
        <w:t xml:space="preserve">Behaviour and Attitudes </w:t>
      </w:r>
    </w:p>
    <w:p w14:paraId="0264F0C6" w14:textId="6BC4C46E" w:rsidR="00DE0F3E" w:rsidRPr="00DE0F3E" w:rsidRDefault="00DE0F3E" w:rsidP="00DE0F3E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323130"/>
          <w:sz w:val="22"/>
          <w:szCs w:val="22"/>
        </w:rPr>
        <w:t xml:space="preserve">Finance </w:t>
      </w:r>
    </w:p>
    <w:p w14:paraId="27C17754" w14:textId="1CA5E4F7" w:rsidR="00466EAA" w:rsidRPr="00AD02E1" w:rsidRDefault="00466EAA" w:rsidP="00DE0F3E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323130"/>
          <w:sz w:val="22"/>
          <w:szCs w:val="22"/>
        </w:rPr>
        <w:t xml:space="preserve">Elections </w:t>
      </w:r>
    </w:p>
    <w:p w14:paraId="60CCD47A" w14:textId="77777777" w:rsidR="00AD02E1" w:rsidRPr="00AD02E1" w:rsidRDefault="00AD02E1" w:rsidP="00AD02E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</w:p>
    <w:p w14:paraId="2247770A" w14:textId="7FBD3E04" w:rsidR="00AD02E1" w:rsidRPr="00E15107" w:rsidRDefault="00AD02E1" w:rsidP="00AD02E1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323130"/>
          <w:sz w:val="22"/>
          <w:szCs w:val="22"/>
        </w:rPr>
      </w:pPr>
      <w:r w:rsidRPr="00E15107">
        <w:rPr>
          <w:rFonts w:ascii="Calibri" w:hAnsi="Calibri" w:cs="Calibri"/>
          <w:b/>
          <w:bCs/>
          <w:color w:val="323130"/>
          <w:sz w:val="22"/>
          <w:szCs w:val="22"/>
          <w:bdr w:val="none" w:sz="0" w:space="0" w:color="auto" w:frame="1"/>
        </w:rPr>
        <w:t>Thursday 9</w:t>
      </w:r>
      <w:r w:rsidRPr="00E15107">
        <w:rPr>
          <w:rFonts w:ascii="Calibri" w:hAnsi="Calibri" w:cs="Calibri"/>
          <w:b/>
          <w:bCs/>
          <w:color w:val="323130"/>
          <w:sz w:val="22"/>
          <w:szCs w:val="22"/>
          <w:bdr w:val="none" w:sz="0" w:space="0" w:color="auto" w:frame="1"/>
          <w:vertAlign w:val="superscript"/>
        </w:rPr>
        <w:t>th</w:t>
      </w:r>
      <w:r w:rsidRPr="00E15107">
        <w:rPr>
          <w:rFonts w:ascii="Calibri" w:hAnsi="Calibri" w:cs="Calibri"/>
          <w:b/>
          <w:bCs/>
          <w:color w:val="323130"/>
          <w:sz w:val="22"/>
          <w:szCs w:val="22"/>
          <w:bdr w:val="none" w:sz="0" w:space="0" w:color="auto" w:frame="1"/>
        </w:rPr>
        <w:t> February 2023</w:t>
      </w:r>
    </w:p>
    <w:p w14:paraId="1A011F82" w14:textId="637834D6" w:rsidR="00DE0F3E" w:rsidRDefault="002B04BC" w:rsidP="00DE0F3E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323130"/>
          <w:sz w:val="22"/>
          <w:szCs w:val="22"/>
        </w:rPr>
        <w:t xml:space="preserve">Attendance Focus </w:t>
      </w:r>
    </w:p>
    <w:p w14:paraId="4424FA76" w14:textId="77777777" w:rsidR="007363FA" w:rsidRPr="00DE0F3E" w:rsidRDefault="007363FA" w:rsidP="007363FA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323130"/>
          <w:sz w:val="22"/>
          <w:szCs w:val="22"/>
          <w:bdr w:val="none" w:sz="0" w:space="0" w:color="auto" w:frame="1"/>
        </w:rPr>
        <w:t xml:space="preserve">Data and Assessment </w:t>
      </w:r>
    </w:p>
    <w:p w14:paraId="12A8AE79" w14:textId="77777777" w:rsidR="00AD02E1" w:rsidRPr="00AD02E1" w:rsidRDefault="00AD02E1" w:rsidP="00AD02E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</w:p>
    <w:p w14:paraId="78C70FCA" w14:textId="5C813652" w:rsidR="00AD02E1" w:rsidRPr="00E15107" w:rsidRDefault="00AD02E1" w:rsidP="00AD02E1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323130"/>
          <w:sz w:val="22"/>
          <w:szCs w:val="22"/>
        </w:rPr>
      </w:pPr>
      <w:r w:rsidRPr="00E15107">
        <w:rPr>
          <w:rFonts w:ascii="Calibri" w:hAnsi="Calibri" w:cs="Calibri"/>
          <w:b/>
          <w:bCs/>
          <w:color w:val="323130"/>
          <w:sz w:val="22"/>
          <w:szCs w:val="22"/>
          <w:bdr w:val="none" w:sz="0" w:space="0" w:color="auto" w:frame="1"/>
        </w:rPr>
        <w:t>Thursday 23</w:t>
      </w:r>
      <w:r w:rsidRPr="00E15107">
        <w:rPr>
          <w:rFonts w:ascii="Calibri" w:hAnsi="Calibri" w:cs="Calibri"/>
          <w:b/>
          <w:bCs/>
          <w:color w:val="323130"/>
          <w:sz w:val="22"/>
          <w:szCs w:val="22"/>
          <w:bdr w:val="none" w:sz="0" w:space="0" w:color="auto" w:frame="1"/>
          <w:vertAlign w:val="superscript"/>
        </w:rPr>
        <w:t>rd</w:t>
      </w:r>
      <w:r w:rsidRPr="00E15107">
        <w:rPr>
          <w:rFonts w:ascii="Calibri" w:hAnsi="Calibri" w:cs="Calibri"/>
          <w:b/>
          <w:bCs/>
          <w:color w:val="323130"/>
          <w:sz w:val="22"/>
          <w:szCs w:val="22"/>
          <w:bdr w:val="none" w:sz="0" w:space="0" w:color="auto" w:frame="1"/>
        </w:rPr>
        <w:t> March 2023</w:t>
      </w:r>
    </w:p>
    <w:p w14:paraId="640DBF9A" w14:textId="320935A4" w:rsidR="002B04BC" w:rsidRPr="006E717A" w:rsidRDefault="002B04BC" w:rsidP="002B04BC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323130"/>
          <w:sz w:val="22"/>
          <w:szCs w:val="22"/>
          <w:bdr w:val="none" w:sz="0" w:space="0" w:color="auto" w:frame="1"/>
        </w:rPr>
        <w:t xml:space="preserve">Pupil Premium Focus </w:t>
      </w:r>
    </w:p>
    <w:p w14:paraId="265BA521" w14:textId="02BFDF00" w:rsidR="006E717A" w:rsidRPr="00466EAA" w:rsidRDefault="006E717A" w:rsidP="002B04BC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323130"/>
          <w:sz w:val="22"/>
          <w:szCs w:val="22"/>
          <w:bdr w:val="none" w:sz="0" w:space="0" w:color="auto" w:frame="1"/>
        </w:rPr>
        <w:t xml:space="preserve">Finance Focus </w:t>
      </w:r>
    </w:p>
    <w:p w14:paraId="3D54F0DF" w14:textId="1EFE1D52" w:rsidR="00466EAA" w:rsidRPr="00466EAA" w:rsidRDefault="00466EAA" w:rsidP="00466EAA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323130"/>
          <w:sz w:val="22"/>
          <w:szCs w:val="22"/>
        </w:rPr>
        <w:t xml:space="preserve">Health and Safety </w:t>
      </w:r>
    </w:p>
    <w:p w14:paraId="638ECFCE" w14:textId="77777777" w:rsidR="00AD02E1" w:rsidRDefault="00AD02E1" w:rsidP="00AD02E1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323130"/>
          <w:sz w:val="22"/>
          <w:szCs w:val="22"/>
        </w:rPr>
      </w:pPr>
    </w:p>
    <w:p w14:paraId="0C000DA7" w14:textId="7DC532D7" w:rsidR="00DE0F3E" w:rsidRPr="00E15107" w:rsidRDefault="00AD02E1" w:rsidP="00DE0F3E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323130"/>
          <w:sz w:val="22"/>
          <w:szCs w:val="22"/>
        </w:rPr>
      </w:pPr>
      <w:r w:rsidRPr="00E15107">
        <w:rPr>
          <w:rFonts w:ascii="Calibri" w:hAnsi="Calibri" w:cs="Calibri"/>
          <w:b/>
          <w:bCs/>
          <w:color w:val="323130"/>
          <w:sz w:val="22"/>
          <w:szCs w:val="22"/>
          <w:bdr w:val="none" w:sz="0" w:space="0" w:color="auto" w:frame="1"/>
        </w:rPr>
        <w:t>Thursday 18</w:t>
      </w:r>
      <w:r w:rsidRPr="00E15107">
        <w:rPr>
          <w:rFonts w:ascii="Calibri" w:hAnsi="Calibri" w:cs="Calibri"/>
          <w:b/>
          <w:bCs/>
          <w:color w:val="323130"/>
          <w:sz w:val="22"/>
          <w:szCs w:val="22"/>
          <w:bdr w:val="none" w:sz="0" w:space="0" w:color="auto" w:frame="1"/>
          <w:vertAlign w:val="superscript"/>
        </w:rPr>
        <w:t>th</w:t>
      </w:r>
      <w:r w:rsidRPr="00E15107">
        <w:rPr>
          <w:rFonts w:ascii="Calibri" w:hAnsi="Calibri" w:cs="Calibri"/>
          <w:b/>
          <w:bCs/>
          <w:color w:val="323130"/>
          <w:sz w:val="22"/>
          <w:szCs w:val="22"/>
          <w:bdr w:val="none" w:sz="0" w:space="0" w:color="auto" w:frame="1"/>
        </w:rPr>
        <w:t> May 2023</w:t>
      </w:r>
    </w:p>
    <w:p w14:paraId="113C580C" w14:textId="37BB4B8C" w:rsidR="002B04BC" w:rsidRPr="00DE0F3E" w:rsidRDefault="002B04BC" w:rsidP="002B04BC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323130"/>
          <w:sz w:val="22"/>
          <w:szCs w:val="22"/>
        </w:rPr>
        <w:t xml:space="preserve">Carers Focus </w:t>
      </w:r>
    </w:p>
    <w:p w14:paraId="034F7C7E" w14:textId="14967292" w:rsidR="00AD02E1" w:rsidRDefault="00AD02E1" w:rsidP="00AD02E1">
      <w:pPr>
        <w:pStyle w:val="NormalWeb"/>
        <w:shd w:val="clear" w:color="auto" w:fill="FFFFFF"/>
        <w:spacing w:before="0" w:beforeAutospacing="0" w:after="0" w:afterAutospacing="0"/>
        <w:ind w:firstLine="48"/>
        <w:rPr>
          <w:rFonts w:ascii="Calibri" w:hAnsi="Calibri" w:cs="Calibri"/>
          <w:color w:val="323130"/>
          <w:sz w:val="22"/>
          <w:szCs w:val="22"/>
        </w:rPr>
      </w:pPr>
    </w:p>
    <w:p w14:paraId="22DC4110" w14:textId="77777777" w:rsidR="00AD02E1" w:rsidRPr="00E15107" w:rsidRDefault="00AD02E1" w:rsidP="00AD02E1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323130"/>
          <w:sz w:val="22"/>
          <w:szCs w:val="22"/>
        </w:rPr>
      </w:pPr>
      <w:r w:rsidRPr="00E15107">
        <w:rPr>
          <w:rFonts w:ascii="Calibri" w:hAnsi="Calibri" w:cs="Calibri"/>
          <w:b/>
          <w:bCs/>
          <w:color w:val="323130"/>
          <w:sz w:val="22"/>
          <w:szCs w:val="22"/>
          <w:bdr w:val="none" w:sz="0" w:space="0" w:color="auto" w:frame="1"/>
        </w:rPr>
        <w:t>Thursday 22</w:t>
      </w:r>
      <w:r w:rsidRPr="00E15107">
        <w:rPr>
          <w:rFonts w:ascii="Calibri" w:hAnsi="Calibri" w:cs="Calibri"/>
          <w:b/>
          <w:bCs/>
          <w:color w:val="323130"/>
          <w:sz w:val="22"/>
          <w:szCs w:val="22"/>
          <w:bdr w:val="none" w:sz="0" w:space="0" w:color="auto" w:frame="1"/>
          <w:vertAlign w:val="superscript"/>
        </w:rPr>
        <w:t>nd</w:t>
      </w:r>
      <w:r w:rsidRPr="00E15107">
        <w:rPr>
          <w:rFonts w:ascii="Calibri" w:hAnsi="Calibri" w:cs="Calibri"/>
          <w:b/>
          <w:bCs/>
          <w:color w:val="323130"/>
          <w:sz w:val="22"/>
          <w:szCs w:val="22"/>
          <w:bdr w:val="none" w:sz="0" w:space="0" w:color="auto" w:frame="1"/>
        </w:rPr>
        <w:t> June 2023</w:t>
      </w:r>
    </w:p>
    <w:p w14:paraId="6889527D" w14:textId="79C0FE13" w:rsidR="00AD02E1" w:rsidRPr="00667306" w:rsidRDefault="00667306" w:rsidP="00DE0F3E">
      <w:pPr>
        <w:pStyle w:val="ListParagraph"/>
        <w:numPr>
          <w:ilvl w:val="1"/>
          <w:numId w:val="3"/>
        </w:numPr>
      </w:pPr>
      <w:r w:rsidRPr="00667306">
        <w:t>Finance / setting budget</w:t>
      </w:r>
      <w:r w:rsidR="00DE0F3E" w:rsidRPr="00667306">
        <w:t xml:space="preserve"> Focus </w:t>
      </w:r>
    </w:p>
    <w:p w14:paraId="3E2CE47D" w14:textId="42BFD39C" w:rsidR="00667306" w:rsidRDefault="00667306" w:rsidP="00667306">
      <w:pPr>
        <w:rPr>
          <w:sz w:val="24"/>
          <w:szCs w:val="24"/>
        </w:rPr>
      </w:pPr>
    </w:p>
    <w:p w14:paraId="5425D00D" w14:textId="32F7FB8A" w:rsidR="00667306" w:rsidRDefault="00667306" w:rsidP="00667306">
      <w:pPr>
        <w:rPr>
          <w:sz w:val="24"/>
          <w:szCs w:val="24"/>
        </w:rPr>
      </w:pPr>
      <w:r>
        <w:rPr>
          <w:sz w:val="24"/>
          <w:szCs w:val="24"/>
        </w:rPr>
        <w:t xml:space="preserve">Safeguarding visits will be half termly </w:t>
      </w:r>
    </w:p>
    <w:p w14:paraId="75FF83DA" w14:textId="319EE6DC" w:rsidR="00667306" w:rsidRDefault="00667306" w:rsidP="00667306">
      <w:pPr>
        <w:rPr>
          <w:sz w:val="24"/>
          <w:szCs w:val="24"/>
        </w:rPr>
      </w:pPr>
      <w:r>
        <w:rPr>
          <w:sz w:val="24"/>
          <w:szCs w:val="24"/>
        </w:rPr>
        <w:t>Other areas of responsibility will need termly monitoring visits.</w:t>
      </w:r>
    </w:p>
    <w:p w14:paraId="75A0A383" w14:textId="3512497F" w:rsidR="00667306" w:rsidRPr="00667306" w:rsidRDefault="00667306" w:rsidP="00667306">
      <w:pPr>
        <w:rPr>
          <w:b/>
          <w:bCs/>
          <w:sz w:val="24"/>
          <w:szCs w:val="24"/>
        </w:rPr>
      </w:pPr>
      <w:r w:rsidRPr="00667306">
        <w:rPr>
          <w:b/>
          <w:bCs/>
          <w:sz w:val="24"/>
          <w:szCs w:val="24"/>
        </w:rPr>
        <w:t>Contacts in schools to arrange visits</w:t>
      </w:r>
      <w:r>
        <w:rPr>
          <w:b/>
          <w:bCs/>
          <w:sz w:val="24"/>
          <w:szCs w:val="24"/>
        </w:rPr>
        <w:t xml:space="preserve"> </w:t>
      </w:r>
      <w:r w:rsidR="002F6935">
        <w:rPr>
          <w:b/>
          <w:bCs/>
          <w:sz w:val="24"/>
          <w:szCs w:val="24"/>
        </w:rPr>
        <w:t>and</w:t>
      </w:r>
      <w:r>
        <w:rPr>
          <w:b/>
          <w:bCs/>
          <w:sz w:val="24"/>
          <w:szCs w:val="24"/>
        </w:rPr>
        <w:t xml:space="preserve"> discuss focus</w:t>
      </w:r>
      <w:r w:rsidRPr="00667306">
        <w:rPr>
          <w:b/>
          <w:bCs/>
          <w:sz w:val="24"/>
          <w:szCs w:val="24"/>
        </w:rPr>
        <w:t>:</w:t>
      </w:r>
    </w:p>
    <w:tbl>
      <w:tblPr>
        <w:tblStyle w:val="TableGrid"/>
        <w:tblpPr w:leftFromText="180" w:rightFromText="180" w:vertAnchor="text" w:horzAnchor="margin" w:tblpY="159"/>
        <w:tblW w:w="8448" w:type="dxa"/>
        <w:tblLook w:val="04A0" w:firstRow="1" w:lastRow="0" w:firstColumn="1" w:lastColumn="0" w:noHBand="0" w:noVBand="1"/>
      </w:tblPr>
      <w:tblGrid>
        <w:gridCol w:w="4224"/>
        <w:gridCol w:w="4224"/>
      </w:tblGrid>
      <w:tr w:rsidR="00667306" w:rsidRPr="000124A8" w14:paraId="10B21252" w14:textId="03522417" w:rsidTr="00667306">
        <w:tc>
          <w:tcPr>
            <w:tcW w:w="4224" w:type="dxa"/>
          </w:tcPr>
          <w:p w14:paraId="6FB5134B" w14:textId="77777777" w:rsidR="00667306" w:rsidRPr="000124A8" w:rsidRDefault="00667306" w:rsidP="003A1D2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School Area </w:t>
            </w:r>
            <w:r w:rsidRPr="000124A8">
              <w:rPr>
                <w:b/>
                <w:bCs/>
              </w:rPr>
              <w:t xml:space="preserve">Role </w:t>
            </w:r>
          </w:p>
        </w:tc>
        <w:tc>
          <w:tcPr>
            <w:tcW w:w="4224" w:type="dxa"/>
          </w:tcPr>
          <w:p w14:paraId="013F2D3F" w14:textId="29A7DF13" w:rsidR="00667306" w:rsidRDefault="00667306" w:rsidP="003A1D2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Contact to arrange Visit </w:t>
            </w:r>
          </w:p>
        </w:tc>
      </w:tr>
      <w:tr w:rsidR="00667306" w14:paraId="3D8F0E7E" w14:textId="6FB787C7" w:rsidTr="00667306">
        <w:tc>
          <w:tcPr>
            <w:tcW w:w="4224" w:type="dxa"/>
          </w:tcPr>
          <w:p w14:paraId="150D62AC" w14:textId="77777777" w:rsidR="00667306" w:rsidRDefault="00667306" w:rsidP="003A1D26">
            <w:r>
              <w:t xml:space="preserve">Health and Safety – Overview of all roles </w:t>
            </w:r>
          </w:p>
        </w:tc>
        <w:tc>
          <w:tcPr>
            <w:tcW w:w="4224" w:type="dxa"/>
          </w:tcPr>
          <w:p w14:paraId="6EE0CF7A" w14:textId="73F4D296" w:rsidR="00667306" w:rsidRDefault="00667306" w:rsidP="003A1D26">
            <w:r>
              <w:t xml:space="preserve">Lisa Hodgkison </w:t>
            </w:r>
          </w:p>
        </w:tc>
      </w:tr>
      <w:tr w:rsidR="00667306" w14:paraId="190E2A9A" w14:textId="41846199" w:rsidTr="00667306">
        <w:tc>
          <w:tcPr>
            <w:tcW w:w="4224" w:type="dxa"/>
          </w:tcPr>
          <w:p w14:paraId="5C8FF09A" w14:textId="77777777" w:rsidR="00667306" w:rsidRDefault="00667306" w:rsidP="003A1D26">
            <w:r>
              <w:t>Behaviour and Attitudes and Attendance</w:t>
            </w:r>
          </w:p>
        </w:tc>
        <w:tc>
          <w:tcPr>
            <w:tcW w:w="4224" w:type="dxa"/>
          </w:tcPr>
          <w:p w14:paraId="0EA1022D" w14:textId="2A9C723D" w:rsidR="00667306" w:rsidRDefault="00667306" w:rsidP="003A1D26">
            <w:r>
              <w:t xml:space="preserve">Hannah Roberts </w:t>
            </w:r>
          </w:p>
        </w:tc>
      </w:tr>
      <w:tr w:rsidR="00667306" w14:paraId="25E65AE5" w14:textId="51DD38C9" w:rsidTr="00667306">
        <w:tc>
          <w:tcPr>
            <w:tcW w:w="4224" w:type="dxa"/>
          </w:tcPr>
          <w:p w14:paraId="075D6B34" w14:textId="77777777" w:rsidR="00667306" w:rsidRDefault="00667306" w:rsidP="003A1D26">
            <w:r>
              <w:t>Safeguarding</w:t>
            </w:r>
          </w:p>
        </w:tc>
        <w:tc>
          <w:tcPr>
            <w:tcW w:w="4224" w:type="dxa"/>
          </w:tcPr>
          <w:p w14:paraId="2ED858F4" w14:textId="1F8DFD57" w:rsidR="00667306" w:rsidRDefault="00667306" w:rsidP="003A1D26">
            <w:r>
              <w:t>Kim Wilson</w:t>
            </w:r>
          </w:p>
        </w:tc>
      </w:tr>
      <w:tr w:rsidR="00667306" w14:paraId="605454C9" w14:textId="191885CC" w:rsidTr="00667306">
        <w:tc>
          <w:tcPr>
            <w:tcW w:w="4224" w:type="dxa"/>
          </w:tcPr>
          <w:p w14:paraId="0E3347C0" w14:textId="77777777" w:rsidR="00667306" w:rsidRDefault="00667306" w:rsidP="003A1D26">
            <w:r>
              <w:t>Finance</w:t>
            </w:r>
          </w:p>
        </w:tc>
        <w:tc>
          <w:tcPr>
            <w:tcW w:w="4224" w:type="dxa"/>
          </w:tcPr>
          <w:p w14:paraId="5CD1B228" w14:textId="4BE9CD5D" w:rsidR="00667306" w:rsidRDefault="00667306" w:rsidP="003A1D26">
            <w:r>
              <w:t xml:space="preserve">Lynn Stubbs </w:t>
            </w:r>
          </w:p>
        </w:tc>
      </w:tr>
      <w:tr w:rsidR="00667306" w14:paraId="513D6843" w14:textId="473FA739" w:rsidTr="00667306">
        <w:tc>
          <w:tcPr>
            <w:tcW w:w="4224" w:type="dxa"/>
          </w:tcPr>
          <w:p w14:paraId="7572D40A" w14:textId="77777777" w:rsidR="00667306" w:rsidRDefault="00667306" w:rsidP="003A1D26">
            <w:r>
              <w:t>Wellbeing for Staff and pupils</w:t>
            </w:r>
          </w:p>
        </w:tc>
        <w:tc>
          <w:tcPr>
            <w:tcW w:w="4224" w:type="dxa"/>
          </w:tcPr>
          <w:p w14:paraId="6FFF10D1" w14:textId="6BD67EB3" w:rsidR="00667306" w:rsidRDefault="002346AA" w:rsidP="003A1D26">
            <w:r>
              <w:t xml:space="preserve">Amanda Leigh </w:t>
            </w:r>
          </w:p>
        </w:tc>
      </w:tr>
      <w:tr w:rsidR="00667306" w14:paraId="256EC2D3" w14:textId="27351D56" w:rsidTr="00667306">
        <w:tc>
          <w:tcPr>
            <w:tcW w:w="4224" w:type="dxa"/>
          </w:tcPr>
          <w:p w14:paraId="5D551E0D" w14:textId="77777777" w:rsidR="00667306" w:rsidRDefault="00667306" w:rsidP="003A1D26">
            <w:r>
              <w:t>Quality of Education / Assessment and Data</w:t>
            </w:r>
          </w:p>
        </w:tc>
        <w:tc>
          <w:tcPr>
            <w:tcW w:w="4224" w:type="dxa"/>
          </w:tcPr>
          <w:p w14:paraId="3BB32603" w14:textId="23765DF1" w:rsidR="00667306" w:rsidRDefault="002346AA" w:rsidP="003A1D26">
            <w:r>
              <w:t xml:space="preserve">Ross Peagam / Kirsty Arthur/ Lisa Hodgkison </w:t>
            </w:r>
          </w:p>
        </w:tc>
      </w:tr>
      <w:tr w:rsidR="00667306" w14:paraId="71E29568" w14:textId="62C61CA7" w:rsidTr="00667306">
        <w:tc>
          <w:tcPr>
            <w:tcW w:w="4224" w:type="dxa"/>
          </w:tcPr>
          <w:p w14:paraId="4537346A" w14:textId="77777777" w:rsidR="00667306" w:rsidRDefault="00667306" w:rsidP="003A1D26">
            <w:r>
              <w:t>Careers</w:t>
            </w:r>
          </w:p>
        </w:tc>
        <w:tc>
          <w:tcPr>
            <w:tcW w:w="4224" w:type="dxa"/>
          </w:tcPr>
          <w:p w14:paraId="65460B28" w14:textId="376FB047" w:rsidR="00667306" w:rsidRDefault="002346AA" w:rsidP="003A1D26">
            <w:r>
              <w:t xml:space="preserve">Laura Armitage </w:t>
            </w:r>
          </w:p>
        </w:tc>
      </w:tr>
    </w:tbl>
    <w:p w14:paraId="1B9C201B" w14:textId="77777777" w:rsidR="00667306" w:rsidRPr="00667306" w:rsidRDefault="00667306" w:rsidP="00667306">
      <w:pPr>
        <w:rPr>
          <w:sz w:val="24"/>
          <w:szCs w:val="24"/>
        </w:rPr>
      </w:pPr>
    </w:p>
    <w:sectPr w:rsidR="00667306" w:rsidRPr="006673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E61F5"/>
    <w:multiLevelType w:val="multilevel"/>
    <w:tmpl w:val="9468C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9E66D5"/>
    <w:multiLevelType w:val="hybridMultilevel"/>
    <w:tmpl w:val="CBEA8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0E4D4E"/>
    <w:multiLevelType w:val="multilevel"/>
    <w:tmpl w:val="EBDCD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08852716">
    <w:abstractNumId w:val="2"/>
  </w:num>
  <w:num w:numId="2" w16cid:durableId="513765119">
    <w:abstractNumId w:val="0"/>
  </w:num>
  <w:num w:numId="3" w16cid:durableId="19310384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2F2"/>
    <w:rsid w:val="00043E62"/>
    <w:rsid w:val="002346AA"/>
    <w:rsid w:val="002B04BC"/>
    <w:rsid w:val="002F6935"/>
    <w:rsid w:val="00466EAA"/>
    <w:rsid w:val="00664D3E"/>
    <w:rsid w:val="00667306"/>
    <w:rsid w:val="006E717A"/>
    <w:rsid w:val="00734816"/>
    <w:rsid w:val="007362F2"/>
    <w:rsid w:val="007363FA"/>
    <w:rsid w:val="00A01CAE"/>
    <w:rsid w:val="00AD02E1"/>
    <w:rsid w:val="00CE51CF"/>
    <w:rsid w:val="00DE0F3E"/>
    <w:rsid w:val="00E1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6C9CB"/>
  <w15:chartTrackingRefBased/>
  <w15:docId w15:val="{BFB1C20A-18EB-4EE3-AAD1-2A0BA4118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362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7362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362F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362F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36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7362F2"/>
    <w:rPr>
      <w:color w:val="0000FF"/>
      <w:u w:val="single"/>
    </w:rPr>
  </w:style>
  <w:style w:type="table" w:styleId="TableGrid">
    <w:name w:val="Table Grid"/>
    <w:basedOn w:val="TableNormal"/>
    <w:uiPriority w:val="39"/>
    <w:rsid w:val="00AD0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0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4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8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choolgovernors.thekeysupport.com/the-governing-body/meetings/agendas/governing-boards-without-committees-circle-model/?marker=content-bod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Springfield School Head</dc:creator>
  <cp:keywords/>
  <dc:description/>
  <cp:lastModifiedBy>Springfield School Head</cp:lastModifiedBy>
  <cp:revision>7</cp:revision>
  <dcterms:created xsi:type="dcterms:W3CDTF">2022-09-12T09:43:00Z</dcterms:created>
  <dcterms:modified xsi:type="dcterms:W3CDTF">2023-01-16T13:25:00Z</dcterms:modified>
</cp:coreProperties>
</file>